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D8947" w14:textId="77777777" w:rsidR="000A2D4E" w:rsidRPr="00095F5D" w:rsidRDefault="000A2D4E" w:rsidP="000A2D4E">
      <w:pPr>
        <w:pStyle w:val="Title"/>
        <w:spacing w:line="240" w:lineRule="auto"/>
        <w:jc w:val="left"/>
        <w:rPr>
          <w:rFonts w:cs="Times New Roman"/>
          <w:b w:val="0"/>
          <w:sz w:val="24"/>
          <w:szCs w:val="24"/>
          <w:lang w:val="bg-BG"/>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043E9898"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w:t>
      </w:r>
      <w:r w:rsidR="00134F65">
        <w:rPr>
          <w:rFonts w:cs="Times New Roman"/>
          <w:sz w:val="24"/>
          <w:szCs w:val="24"/>
          <w:lang w:val="bg-BG"/>
        </w:rPr>
        <w:t>1, представляван от..................</w:t>
      </w:r>
      <w:bookmarkStart w:id="0" w:name="_GoBack"/>
      <w:bookmarkEnd w:id="0"/>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r w:rsidR="00F67878">
        <w:fldChar w:fldCharType="begin"/>
      </w:r>
      <w:r w:rsidR="00F67878">
        <w:instrText xml:space="preserve"> HYPERLINK "apis://Base=NARH&amp;DocCode=8393216038&amp;Type=201" </w:instrText>
      </w:r>
      <w:r w:rsidR="00F67878">
        <w:fldChar w:fldCharType="separate"/>
      </w:r>
      <w:r w:rsidRPr="004A0780">
        <w:rPr>
          <w:rStyle w:val="Hyperlink"/>
          <w:rFonts w:cs="Times New Roman"/>
          <w:sz w:val="24"/>
          <w:szCs w:val="24"/>
          <w:lang w:val="ru-RU"/>
        </w:rPr>
        <w:t>бр. 100</w:t>
      </w:r>
      <w:r w:rsidR="00F67878">
        <w:rPr>
          <w:rStyle w:val="Hyperlink"/>
          <w:rFonts w:cs="Times New Roman"/>
          <w:sz w:val="24"/>
          <w:szCs w:val="24"/>
          <w:lang w:val="ru-RU"/>
        </w:rPr>
        <w:fldChar w:fldCharType="end"/>
      </w:r>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r w:rsidR="00F67878">
        <w:fldChar w:fldCharType="begin"/>
      </w:r>
      <w:r w:rsidR="00F67878">
        <w:instrText xml:space="preserve"> HYPERLINK "apis://Base=NARH&amp;DocCode=5551917032&amp;Type=201" </w:instrText>
      </w:r>
      <w:r w:rsidR="00F67878">
        <w:fldChar w:fldCharType="separate"/>
      </w:r>
      <w:r w:rsidRPr="004A0780">
        <w:rPr>
          <w:rStyle w:val="Hyperlink"/>
          <w:rFonts w:cs="Times New Roman"/>
          <w:sz w:val="24"/>
          <w:szCs w:val="24"/>
          <w:lang w:val="ru-RU"/>
        </w:rPr>
        <w:t>бр. 52</w:t>
      </w:r>
      <w:r w:rsidR="00F67878">
        <w:rPr>
          <w:rStyle w:val="Hyperlink"/>
          <w:rFonts w:cs="Times New Roman"/>
          <w:sz w:val="24"/>
          <w:szCs w:val="24"/>
          <w:lang w:val="ru-RU"/>
        </w:rPr>
        <w:fldChar w:fldCharType="end"/>
      </w:r>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w:t>
      </w:r>
      <w:r w:rsidRPr="004A0780">
        <w:rPr>
          <w:rFonts w:cs="Times New Roman"/>
          <w:bCs/>
          <w:color w:val="000000"/>
          <w:sz w:val="24"/>
          <w:szCs w:val="24"/>
          <w:lang w:val="ru-RU"/>
        </w:rPr>
        <w:lastRenderedPageBreak/>
        <w:t>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w:t>
      </w:r>
      <w:r w:rsidRPr="004A0780">
        <w:rPr>
          <w:rFonts w:cs="Times New Roman"/>
          <w:sz w:val="24"/>
          <w:szCs w:val="24"/>
          <w:shd w:val="clear" w:color="auto" w:fill="FEFEFE"/>
          <w:lang w:val="bg-BG"/>
        </w:rPr>
        <w:lastRenderedPageBreak/>
        <w:t xml:space="preserve">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r w:rsidR="00F67878">
        <w:fldChar w:fldCharType="begin"/>
      </w:r>
      <w:r w:rsidR="00F67878">
        <w:instrText xml:space="preserve"> HYPERLINK "http://www.dfz.bg" </w:instrText>
      </w:r>
      <w:r w:rsidR="00F67878">
        <w:fldChar w:fldCharType="separate"/>
      </w:r>
      <w:r w:rsidRPr="004A0780">
        <w:rPr>
          <w:rStyle w:val="Hyperlink"/>
          <w:rFonts w:cs="Times New Roman"/>
          <w:color w:val="auto"/>
          <w:sz w:val="24"/>
          <w:szCs w:val="24"/>
          <w:shd w:val="clear" w:color="auto" w:fill="FEFEFE"/>
        </w:rPr>
        <w:t>www</w:t>
      </w:r>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dfz</w:t>
      </w:r>
      <w:proofErr w:type="spellEnd"/>
      <w:r w:rsidRPr="004A0780">
        <w:rPr>
          <w:rStyle w:val="Hyperlink"/>
          <w:rFonts w:cs="Times New Roman"/>
          <w:color w:val="auto"/>
          <w:sz w:val="24"/>
          <w:szCs w:val="24"/>
          <w:shd w:val="clear" w:color="auto" w:fill="FEFEFE"/>
          <w:lang w:val="bg-BG"/>
        </w:rPr>
        <w:t>.</w:t>
      </w:r>
      <w:proofErr w:type="spellStart"/>
      <w:r w:rsidRPr="004A0780">
        <w:rPr>
          <w:rStyle w:val="Hyperlink"/>
          <w:rFonts w:cs="Times New Roman"/>
          <w:color w:val="auto"/>
          <w:sz w:val="24"/>
          <w:szCs w:val="24"/>
          <w:shd w:val="clear" w:color="auto" w:fill="FEFEFE"/>
        </w:rPr>
        <w:t>bg</w:t>
      </w:r>
      <w:proofErr w:type="spellEnd"/>
      <w:r w:rsidR="00F67878">
        <w:rPr>
          <w:rStyle w:val="Hyperlink"/>
          <w:rFonts w:cs="Times New Roman"/>
          <w:color w:val="auto"/>
          <w:sz w:val="24"/>
          <w:szCs w:val="24"/>
          <w:shd w:val="clear" w:color="auto" w:fill="FEFEFE"/>
        </w:rPr>
        <w:fldChar w:fldCharType="end"/>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4A0780">
        <w:rPr>
          <w:rFonts w:cs="Times New Roman"/>
          <w:szCs w:val="24"/>
          <w:lang w:val="bg-BG"/>
        </w:rPr>
        <w:lastRenderedPageBreak/>
        <w:t xml:space="preserve">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BodyText"/>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5EEAF9D5"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xml:space="preserve">), но не повече от 36 месеца, </w:t>
      </w:r>
      <w:r w:rsidR="00AF2965">
        <w:rPr>
          <w:rFonts w:cs="Times New Roman"/>
          <w:b/>
          <w:sz w:val="24"/>
          <w:szCs w:val="24"/>
          <w:lang w:val="bg-BG"/>
        </w:rPr>
        <w:t>не по-късно от 30 юни 2025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77777777" w:rsidR="000A2D4E" w:rsidRPr="004A0780" w:rsidRDefault="000A2D4E" w:rsidP="000A2D4E">
      <w:pPr>
        <w:pStyle w:val="BodyText"/>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lastRenderedPageBreak/>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4A0780">
        <w:rPr>
          <w:rFonts w:cs="Times New Roman"/>
          <w:sz w:val="24"/>
          <w:szCs w:val="24"/>
          <w:lang w:val="bg-BG"/>
        </w:rPr>
        <w:lastRenderedPageBreak/>
        <w:t xml:space="preserve">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BodyText"/>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r w:rsidR="00F67878">
        <w:fldChar w:fldCharType="begin"/>
      </w:r>
      <w:r w:rsidR="00F67878">
        <w:instrText xml:space="preserve"> HYPERLINK "apis://Base=NARH&amp;DocCode=56772&amp;Type=201" </w:instrText>
      </w:r>
      <w:r w:rsidR="00F67878">
        <w:fldChar w:fldCharType="separate"/>
      </w:r>
      <w:r w:rsidRPr="00AF4F32">
        <w:rPr>
          <w:rStyle w:val="Hyperlink"/>
          <w:rFonts w:cs="Times New Roman"/>
          <w:lang w:val="ru-RU"/>
        </w:rPr>
        <w:t>П</w:t>
      </w:r>
      <w:r w:rsidRPr="00AF4F32">
        <w:rPr>
          <w:rStyle w:val="Hyperlink"/>
          <w:rFonts w:cs="Times New Roman"/>
          <w:lang w:val="bg-BG"/>
        </w:rPr>
        <w:t>остановление</w:t>
      </w:r>
      <w:r w:rsidRPr="00AF4F32">
        <w:rPr>
          <w:rStyle w:val="Hyperlink"/>
          <w:rFonts w:cs="Times New Roman"/>
          <w:lang w:val="ru-RU"/>
        </w:rPr>
        <w:t xml:space="preserve"> № 57</w:t>
      </w:r>
      <w:r w:rsidR="00F67878">
        <w:rPr>
          <w:rStyle w:val="Hyperlink"/>
          <w:rFonts w:cs="Times New Roman"/>
          <w:lang w:val="ru-RU"/>
        </w:rPr>
        <w:fldChar w:fldCharType="end"/>
      </w:r>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r w:rsidR="00F67878">
        <w:fldChar w:fldCharType="begin"/>
      </w:r>
      <w:r w:rsidR="00F67878">
        <w:instrText xml:space="preserve"> HYPERLINK "apis://Base=NARH&amp;DocCode=8416917068&amp;Type=201" </w:instrText>
      </w:r>
      <w:r w:rsidR="00F67878">
        <w:fldChar w:fldCharType="separate"/>
      </w:r>
      <w:r w:rsidRPr="00AF4F32">
        <w:rPr>
          <w:rStyle w:val="Hyperlink"/>
          <w:rFonts w:cs="Times New Roman"/>
          <w:lang w:val="ru-RU"/>
        </w:rPr>
        <w:t>бр. 27</w:t>
      </w:r>
      <w:r w:rsidR="00F67878">
        <w:rPr>
          <w:rStyle w:val="Hyperlink"/>
          <w:rFonts w:cs="Times New Roman"/>
          <w:lang w:val="ru-RU"/>
        </w:rPr>
        <w:fldChar w:fldCharType="end"/>
      </w:r>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lastRenderedPageBreak/>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lastRenderedPageBreak/>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r w:rsidR="00F67878">
        <w:fldChar w:fldCharType="begin"/>
      </w:r>
      <w:r w:rsidR="00F67878">
        <w:instrText xml:space="preserve"> HYPERLINK "http://www.dfz.bg" </w:instrText>
      </w:r>
      <w:r w:rsidR="00F67878">
        <w:fldChar w:fldCharType="separate"/>
      </w:r>
      <w:r w:rsidRPr="004A0780">
        <w:rPr>
          <w:rStyle w:val="Hyperlink"/>
          <w:rFonts w:cs="Times New Roman"/>
          <w:lang w:val="en-US"/>
        </w:rPr>
        <w:t>www</w:t>
      </w:r>
      <w:r w:rsidRPr="004A0780">
        <w:rPr>
          <w:rStyle w:val="Hyperlink"/>
          <w:rFonts w:cs="Times New Roman"/>
          <w:lang w:val="ru-RU"/>
        </w:rPr>
        <w:t>.</w:t>
      </w:r>
      <w:proofErr w:type="spellStart"/>
      <w:r w:rsidRPr="004A0780">
        <w:rPr>
          <w:rStyle w:val="Hyperlink"/>
          <w:rFonts w:cs="Times New Roman"/>
          <w:lang w:val="en-US"/>
        </w:rPr>
        <w:t>dfz</w:t>
      </w:r>
      <w:proofErr w:type="spellEnd"/>
      <w:r w:rsidRPr="004A0780">
        <w:rPr>
          <w:rStyle w:val="Hyperlink"/>
          <w:rFonts w:cs="Times New Roman"/>
          <w:lang w:val="ru-RU"/>
        </w:rPr>
        <w:t>.</w:t>
      </w:r>
      <w:proofErr w:type="spellStart"/>
      <w:r w:rsidRPr="004A0780">
        <w:rPr>
          <w:rStyle w:val="Hyperlink"/>
          <w:rFonts w:cs="Times New Roman"/>
          <w:lang w:val="en-US"/>
        </w:rPr>
        <w:t>bg</w:t>
      </w:r>
      <w:proofErr w:type="spellEnd"/>
      <w:r w:rsidR="00F67878">
        <w:rPr>
          <w:rStyle w:val="Hyperlink"/>
          <w:rFonts w:cs="Times New Roman"/>
          <w:lang w:val="en-US"/>
        </w:rPr>
        <w:fldChar w:fldCharType="end"/>
      </w:r>
      <w:r w:rsidRPr="004A0780">
        <w:rPr>
          <w:rFonts w:cs="Times New Roman"/>
          <w:color w:val="auto"/>
        </w:rPr>
        <w:t xml:space="preserve">). </w:t>
      </w:r>
    </w:p>
    <w:p w14:paraId="3E00DBD3" w14:textId="7777777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lastRenderedPageBreak/>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NormalWeb"/>
        <w:ind w:firstLine="708"/>
        <w:rPr>
          <w:rFonts w:cs="Times New Roman"/>
          <w:color w:val="auto"/>
        </w:rPr>
      </w:pPr>
      <w:r w:rsidRPr="004A0780" w:rsidDel="000F72EC">
        <w:rPr>
          <w:rFonts w:cs="Times New Roman"/>
          <w:b/>
          <w:color w:val="auto"/>
        </w:rPr>
        <w:lastRenderedPageBreak/>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BodyText"/>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BodyText"/>
        <w:tabs>
          <w:tab w:val="left" w:pos="426"/>
        </w:tabs>
        <w:rPr>
          <w:lang w:val="bg-BG"/>
        </w:rPr>
      </w:pPr>
      <w:r w:rsidRPr="004A0780">
        <w:rPr>
          <w:b/>
          <w:iCs/>
          <w:lang w:val="bg-BG"/>
        </w:rPr>
        <w:lastRenderedPageBreak/>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r w:rsidR="00F67878">
        <w:fldChar w:fldCharType="begin"/>
      </w:r>
      <w:r w:rsidR="00F67878">
        <w:instrText xml:space="preserve"> HYPERLINK "http://www.dfz.bg" </w:instrText>
      </w:r>
      <w:r w:rsidR="00F67878">
        <w:fldChar w:fldCharType="separate"/>
      </w:r>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proofErr w:type="spellStart"/>
      <w:r w:rsidRPr="004A0780">
        <w:rPr>
          <w:rStyle w:val="Hyperlink"/>
          <w:szCs w:val="24"/>
        </w:rPr>
        <w:t>dfz</w:t>
      </w:r>
      <w:proofErr w:type="spellEnd"/>
      <w:r w:rsidRPr="004A0780">
        <w:rPr>
          <w:rStyle w:val="Hyperlink"/>
          <w:szCs w:val="24"/>
          <w:lang w:val="bg-BG"/>
        </w:rPr>
        <w:t>.</w:t>
      </w:r>
      <w:proofErr w:type="spellStart"/>
      <w:r w:rsidRPr="004A0780">
        <w:rPr>
          <w:rStyle w:val="Hyperlink"/>
          <w:szCs w:val="24"/>
        </w:rPr>
        <w:t>bg</w:t>
      </w:r>
      <w:proofErr w:type="spellEnd"/>
      <w:r w:rsidR="00F67878">
        <w:rPr>
          <w:rStyle w:val="Hyperlink"/>
          <w:szCs w:val="24"/>
        </w:rPr>
        <w:fldChar w:fldCharType="end"/>
      </w:r>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77777777"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77777777"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r w:rsidR="00F67878">
        <w:fldChar w:fldCharType="begin"/>
      </w:r>
      <w:r w:rsidR="00F67878">
        <w:instrText xml:space="preserve"> HYPERLINK "javascript:%20NavigateDocument('EU32014R0640');" </w:instrText>
      </w:r>
      <w:r w:rsidR="00F67878">
        <w:fldChar w:fldCharType="separate"/>
      </w:r>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r w:rsidR="00F67878">
        <w:rPr>
          <w:rStyle w:val="Hyperlink"/>
          <w:lang w:val="ru-RU"/>
        </w:rPr>
        <w:fldChar w:fldCharType="end"/>
      </w:r>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r w:rsidR="00F67878">
        <w:fldChar w:fldCharType="begin"/>
      </w:r>
      <w:r w:rsidR="00F67878">
        <w:instrText xml:space="preserve"> HYPERLINK "http://www.dfz.bg" </w:instrText>
      </w:r>
      <w:r w:rsidR="00F67878">
        <w:fldChar w:fldCharType="separate"/>
      </w:r>
      <w:r w:rsidRPr="004A0780">
        <w:rPr>
          <w:rStyle w:val="Hyperlink"/>
          <w:rFonts w:cs="Times New Roman"/>
          <w:szCs w:val="24"/>
        </w:rPr>
        <w:t>www</w:t>
      </w:r>
      <w:r w:rsidRPr="004A0780">
        <w:rPr>
          <w:rStyle w:val="Hyperlink"/>
          <w:rFonts w:cs="Times New Roman"/>
          <w:szCs w:val="24"/>
          <w:lang w:val="ru-RU"/>
        </w:rPr>
        <w:t>.</w:t>
      </w:r>
      <w:proofErr w:type="spellStart"/>
      <w:r w:rsidRPr="004A0780">
        <w:rPr>
          <w:rStyle w:val="Hyperlink"/>
          <w:rFonts w:cs="Times New Roman"/>
          <w:szCs w:val="24"/>
        </w:rPr>
        <w:t>dfz</w:t>
      </w:r>
      <w:proofErr w:type="spellEnd"/>
      <w:r w:rsidRPr="004A0780">
        <w:rPr>
          <w:rStyle w:val="Hyperlink"/>
          <w:rFonts w:cs="Times New Roman"/>
          <w:szCs w:val="24"/>
          <w:lang w:val="ru-RU"/>
        </w:rPr>
        <w:t>.</w:t>
      </w:r>
      <w:proofErr w:type="spellStart"/>
      <w:r w:rsidRPr="004A0780">
        <w:rPr>
          <w:rStyle w:val="Hyperlink"/>
          <w:rFonts w:cs="Times New Roman"/>
          <w:szCs w:val="24"/>
        </w:rPr>
        <w:t>bg</w:t>
      </w:r>
      <w:proofErr w:type="spellEnd"/>
      <w:r w:rsidR="00F67878">
        <w:rPr>
          <w:rStyle w:val="Hyperlink"/>
          <w:rFonts w:cs="Times New Roman"/>
          <w:szCs w:val="24"/>
        </w:rPr>
        <w:fldChar w:fldCharType="end"/>
      </w:r>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NoSpacing"/>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NoSpacing"/>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77777777"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2DA92F76" w14:textId="77777777" w:rsidR="000A2D4E" w:rsidRPr="004A0780" w:rsidRDefault="000A2D4E" w:rsidP="000A2D4E">
      <w:pPr>
        <w:pStyle w:val="BodyText"/>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BodyText"/>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B9A10" w14:textId="77777777" w:rsidR="00F67878" w:rsidRDefault="00F67878" w:rsidP="000A2D4E">
      <w:r>
        <w:separator/>
      </w:r>
    </w:p>
  </w:endnote>
  <w:endnote w:type="continuationSeparator" w:id="0">
    <w:p w14:paraId="623F7C07" w14:textId="77777777" w:rsidR="00F67878" w:rsidRDefault="00F67878"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A4662" w14:textId="53AF32C3" w:rsidR="00343946" w:rsidRDefault="005379ED">
    <w:pPr>
      <w:pStyle w:val="Footer"/>
      <w:jc w:val="right"/>
    </w:pPr>
    <w:r>
      <w:fldChar w:fldCharType="begin"/>
    </w:r>
    <w:r>
      <w:instrText xml:space="preserve"> PAGE   \* MERGEFORMAT </w:instrText>
    </w:r>
    <w:r>
      <w:fldChar w:fldCharType="separate"/>
    </w:r>
    <w:r w:rsidR="00134F65">
      <w:rPr>
        <w:noProof/>
      </w:rPr>
      <w:t>18</w:t>
    </w:r>
    <w:r>
      <w:fldChar w:fldCharType="end"/>
    </w:r>
  </w:p>
  <w:p w14:paraId="3BEAD80C" w14:textId="77777777" w:rsidR="00343946" w:rsidRDefault="00F678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49F61" w14:textId="77777777" w:rsidR="00F67878" w:rsidRDefault="00F67878" w:rsidP="000A2D4E">
      <w:r>
        <w:separator/>
      </w:r>
    </w:p>
  </w:footnote>
  <w:footnote w:type="continuationSeparator" w:id="0">
    <w:p w14:paraId="4E94F612" w14:textId="77777777" w:rsidR="00F67878" w:rsidRDefault="00F67878" w:rsidP="000A2D4E">
      <w:r>
        <w:continuationSeparator/>
      </w:r>
    </w:p>
  </w:footnote>
  <w:footnote w:id="1">
    <w:p w14:paraId="6B5013D9" w14:textId="77777777"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34F65"/>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2965"/>
    <w:rsid w:val="00AF4F32"/>
    <w:rsid w:val="00B164AA"/>
    <w:rsid w:val="00B22F5E"/>
    <w:rsid w:val="00B254F8"/>
    <w:rsid w:val="00B260DA"/>
    <w:rsid w:val="00B30806"/>
    <w:rsid w:val="00B36265"/>
    <w:rsid w:val="00B67B21"/>
    <w:rsid w:val="00B739FC"/>
    <w:rsid w:val="00B869A6"/>
    <w:rsid w:val="00B86C87"/>
    <w:rsid w:val="00BB35E3"/>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B47"/>
    <w:rsid w:val="00EB43CC"/>
    <w:rsid w:val="00ED4F47"/>
    <w:rsid w:val="00EF0D11"/>
    <w:rsid w:val="00F32FB8"/>
    <w:rsid w:val="00F414C9"/>
    <w:rsid w:val="00F46362"/>
    <w:rsid w:val="00F521EC"/>
    <w:rsid w:val="00F57A7F"/>
    <w:rsid w:val="00F67878"/>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9215</Words>
  <Characters>52528</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user</cp:lastModifiedBy>
  <cp:revision>41</cp:revision>
  <dcterms:created xsi:type="dcterms:W3CDTF">2021-10-19T10:44:00Z</dcterms:created>
  <dcterms:modified xsi:type="dcterms:W3CDTF">2022-11-30T14:00:00Z</dcterms:modified>
</cp:coreProperties>
</file>